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B84F">
      <w:pPr>
        <w:pStyle w:val="2"/>
        <w:overflowPunct w:val="0"/>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2025年洛龙区药品经营使用单位监督检查计划</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577"/>
        <w:gridCol w:w="812"/>
        <w:gridCol w:w="4149"/>
        <w:gridCol w:w="3992"/>
        <w:gridCol w:w="1072"/>
        <w:gridCol w:w="3390"/>
      </w:tblGrid>
      <w:tr w14:paraId="0183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5" w:hRule="atLeast"/>
          <w:tblHeader/>
          <w:jc w:val="center"/>
        </w:trPr>
        <w:tc>
          <w:tcPr>
            <w:tcW w:w="206" w:type="pct"/>
            <w:noWrap w:val="0"/>
            <w:vAlign w:val="center"/>
          </w:tcPr>
          <w:p w14:paraId="4887CDD1">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序号</w:t>
            </w:r>
          </w:p>
        </w:tc>
        <w:tc>
          <w:tcPr>
            <w:tcW w:w="290" w:type="pct"/>
            <w:noWrap w:val="0"/>
            <w:vAlign w:val="center"/>
          </w:tcPr>
          <w:p w14:paraId="2A8C1424">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检查</w:t>
            </w:r>
          </w:p>
          <w:p w14:paraId="5DDAF551">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对象</w:t>
            </w:r>
          </w:p>
        </w:tc>
        <w:tc>
          <w:tcPr>
            <w:tcW w:w="1482" w:type="pct"/>
            <w:noWrap w:val="0"/>
            <w:vAlign w:val="center"/>
          </w:tcPr>
          <w:p w14:paraId="2303AEA1">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检查任务</w:t>
            </w:r>
          </w:p>
        </w:tc>
        <w:tc>
          <w:tcPr>
            <w:tcW w:w="1426" w:type="pct"/>
            <w:noWrap w:val="0"/>
            <w:vAlign w:val="center"/>
          </w:tcPr>
          <w:p w14:paraId="51529500">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检查</w:t>
            </w:r>
            <w:r>
              <w:rPr>
                <w:rFonts w:hint="eastAsia" w:ascii="黑体" w:hAnsi="黑体" w:eastAsia="黑体"/>
                <w:sz w:val="24"/>
                <w:szCs w:val="24"/>
                <w:lang w:eastAsia="zh-CN"/>
              </w:rPr>
              <w:t>依据</w:t>
            </w:r>
          </w:p>
        </w:tc>
        <w:tc>
          <w:tcPr>
            <w:tcW w:w="383" w:type="pct"/>
            <w:noWrap w:val="0"/>
            <w:vAlign w:val="center"/>
          </w:tcPr>
          <w:p w14:paraId="3D4ACD37">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负责单位</w:t>
            </w:r>
          </w:p>
        </w:tc>
        <w:tc>
          <w:tcPr>
            <w:tcW w:w="1211" w:type="pct"/>
            <w:noWrap w:val="0"/>
            <w:vAlign w:val="center"/>
          </w:tcPr>
          <w:p w14:paraId="380E69C4">
            <w:pPr>
              <w:pStyle w:val="2"/>
              <w:overflowPunct w:val="0"/>
              <w:spacing w:after="0" w:line="300" w:lineRule="exact"/>
              <w:jc w:val="center"/>
              <w:rPr>
                <w:rFonts w:ascii="黑体" w:hAnsi="黑体" w:eastAsia="黑体"/>
                <w:sz w:val="24"/>
                <w:szCs w:val="24"/>
                <w:lang w:eastAsia="zh-CN"/>
              </w:rPr>
            </w:pPr>
            <w:r>
              <w:rPr>
                <w:rFonts w:ascii="黑体" w:hAnsi="黑体" w:eastAsia="黑体"/>
                <w:sz w:val="24"/>
                <w:szCs w:val="24"/>
                <w:lang w:eastAsia="zh-CN"/>
              </w:rPr>
              <w:t>工作要求</w:t>
            </w:r>
          </w:p>
        </w:tc>
      </w:tr>
      <w:tr w14:paraId="08F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06" w:type="pct"/>
            <w:noWrap w:val="0"/>
            <w:vAlign w:val="center"/>
          </w:tcPr>
          <w:p w14:paraId="1881C770">
            <w:pPr>
              <w:pStyle w:val="2"/>
              <w:overflowPunct w:val="0"/>
              <w:spacing w:after="0" w:line="30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1</w:t>
            </w:r>
          </w:p>
        </w:tc>
        <w:tc>
          <w:tcPr>
            <w:tcW w:w="290" w:type="pct"/>
            <w:noWrap w:val="0"/>
            <w:vAlign w:val="center"/>
          </w:tcPr>
          <w:p w14:paraId="45CFC6AC">
            <w:pPr>
              <w:pStyle w:val="2"/>
              <w:overflowPunct w:val="0"/>
              <w:spacing w:after="0" w:line="300" w:lineRule="exact"/>
              <w:jc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药品网络销售企业</w:t>
            </w:r>
          </w:p>
        </w:tc>
        <w:tc>
          <w:tcPr>
            <w:tcW w:w="1482" w:type="pct"/>
            <w:noWrap w:val="0"/>
            <w:vAlign w:val="center"/>
          </w:tcPr>
          <w:p w14:paraId="6AFE0CCA">
            <w:pPr>
              <w:pStyle w:val="2"/>
              <w:overflowPunct w:val="0"/>
              <w:spacing w:after="0" w:line="300" w:lineRule="exact"/>
              <w:rPr>
                <w:rFonts w:ascii="仿宋_GB2312" w:hAnsi="宋体" w:eastAsia="仿宋_GB2312"/>
                <w:sz w:val="24"/>
                <w:szCs w:val="24"/>
                <w:lang w:eastAsia="zh-CN"/>
              </w:rPr>
            </w:pPr>
            <w:r>
              <w:rPr>
                <w:rFonts w:hint="eastAsia" w:ascii="仿宋_GB2312" w:hAnsi="宋体" w:eastAsia="仿宋_GB2312"/>
                <w:sz w:val="24"/>
                <w:szCs w:val="24"/>
                <w:lang w:eastAsia="zh-CN"/>
              </w:rPr>
              <w:t>对药品网络销售企业实施线上线下一体化的监督检查。</w:t>
            </w:r>
          </w:p>
        </w:tc>
        <w:tc>
          <w:tcPr>
            <w:tcW w:w="1426" w:type="pct"/>
            <w:noWrap w:val="0"/>
            <w:vAlign w:val="center"/>
          </w:tcPr>
          <w:p w14:paraId="79BD740D">
            <w:pPr>
              <w:pStyle w:val="2"/>
              <w:overflowPunct w:val="0"/>
              <w:spacing w:after="0" w:line="30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《药品网络销售监督管理办法》《国家药监局关于规范药品网络销售备案和报告工作的公告》</w:t>
            </w:r>
            <w:r>
              <w:rPr>
                <w:rFonts w:hint="eastAsia" w:ascii="仿宋_GB2312" w:hAnsi="黑体" w:eastAsia="仿宋_GB2312"/>
                <w:spacing w:val="-34"/>
                <w:sz w:val="24"/>
                <w:szCs w:val="24"/>
                <w:lang w:eastAsia="zh-CN"/>
              </w:rPr>
              <w:t>（2022 年第 112 号）</w:t>
            </w:r>
          </w:p>
        </w:tc>
        <w:tc>
          <w:tcPr>
            <w:tcW w:w="383" w:type="pct"/>
            <w:noWrap w:val="0"/>
            <w:vAlign w:val="center"/>
          </w:tcPr>
          <w:p w14:paraId="2BF38EC0">
            <w:pPr>
              <w:pStyle w:val="2"/>
              <w:overflowPunct w:val="0"/>
              <w:spacing w:after="0" w:line="300" w:lineRule="exact"/>
              <w:jc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各市场监管所</w:t>
            </w:r>
          </w:p>
        </w:tc>
        <w:tc>
          <w:tcPr>
            <w:tcW w:w="1211" w:type="pct"/>
            <w:noWrap w:val="0"/>
            <w:vAlign w:val="center"/>
          </w:tcPr>
          <w:p w14:paraId="6839D14C">
            <w:pPr>
              <w:pStyle w:val="2"/>
              <w:overflowPunct w:val="0"/>
              <w:spacing w:after="0" w:line="30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1.对检查发现的问题依法依规查处。</w:t>
            </w:r>
          </w:p>
          <w:p w14:paraId="190751C9">
            <w:pPr>
              <w:pStyle w:val="2"/>
              <w:overflowPunct w:val="0"/>
              <w:spacing w:after="0" w:line="30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2.建立完善检查档案。</w:t>
            </w:r>
          </w:p>
        </w:tc>
      </w:tr>
      <w:tr w14:paraId="6505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06" w:type="pct"/>
            <w:noWrap w:val="0"/>
            <w:vAlign w:val="center"/>
          </w:tcPr>
          <w:p w14:paraId="07480A07">
            <w:pPr>
              <w:pStyle w:val="2"/>
              <w:overflowPunct w:val="0"/>
              <w:spacing w:after="0" w:line="32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2</w:t>
            </w:r>
          </w:p>
        </w:tc>
        <w:tc>
          <w:tcPr>
            <w:tcW w:w="290" w:type="pct"/>
            <w:noWrap w:val="0"/>
            <w:vAlign w:val="center"/>
          </w:tcPr>
          <w:p w14:paraId="40D78745">
            <w:pPr>
              <w:pStyle w:val="2"/>
              <w:overflowPunct w:val="0"/>
              <w:spacing w:after="0" w:line="320" w:lineRule="exact"/>
              <w:jc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零售药店（含连锁门店）</w:t>
            </w:r>
          </w:p>
        </w:tc>
        <w:tc>
          <w:tcPr>
            <w:tcW w:w="1482" w:type="pct"/>
            <w:noWrap w:val="0"/>
            <w:vAlign w:val="center"/>
          </w:tcPr>
          <w:p w14:paraId="3E7ACF2C">
            <w:pPr>
              <w:pStyle w:val="2"/>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1.将上一年度新开办的零售药店纳入本年度的监督检查计划，对其实施GSP符合性检查；</w:t>
            </w:r>
          </w:p>
          <w:p w14:paraId="12B93B7A">
            <w:pPr>
              <w:pStyle w:val="2"/>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2.对经营冷藏冷冻药品、血液制品、细胞治疗类生物制品的零售药店检查，每年不少于 1 次；</w:t>
            </w:r>
          </w:p>
          <w:p w14:paraId="4375CC91">
            <w:pPr>
              <w:pStyle w:val="2"/>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3.对第 2 项以外的零售药店，每年确定一定比例开展GSP符合性检查，三年内对本行政区域内零售药店全部进行检查；</w:t>
            </w:r>
          </w:p>
          <w:p w14:paraId="3C4E83D5">
            <w:pPr>
              <w:pStyle w:val="2"/>
              <w:overflowPunct w:val="0"/>
              <w:spacing w:after="0" w:line="320" w:lineRule="exact"/>
              <w:rPr>
                <w:rFonts w:ascii="仿宋_GB2312" w:hAnsi="宋体" w:eastAsia="仿宋_GB2312"/>
                <w:sz w:val="24"/>
                <w:szCs w:val="24"/>
                <w:lang w:eastAsia="zh-CN"/>
              </w:rPr>
            </w:pPr>
            <w:r>
              <w:rPr>
                <w:rFonts w:hint="eastAsia" w:ascii="仿宋_GB2312" w:hAnsi="黑体" w:eastAsia="仿宋_GB2312"/>
                <w:sz w:val="24"/>
                <w:szCs w:val="24"/>
                <w:lang w:eastAsia="zh-CN"/>
              </w:rPr>
              <w:t>4.省局和市局、区局下达的其他检查任务。</w:t>
            </w:r>
          </w:p>
        </w:tc>
        <w:tc>
          <w:tcPr>
            <w:tcW w:w="1426" w:type="pct"/>
            <w:noWrap w:val="0"/>
            <w:vAlign w:val="center"/>
          </w:tcPr>
          <w:p w14:paraId="46A51B87">
            <w:pPr>
              <w:pStyle w:val="2"/>
              <w:overflowPunct w:val="0"/>
              <w:spacing w:after="0" w:line="320" w:lineRule="exact"/>
              <w:rPr>
                <w:rFonts w:ascii="仿宋_GB2312" w:hAnsi="黑体" w:eastAsia="仿宋_GB2312"/>
                <w:sz w:val="24"/>
                <w:szCs w:val="24"/>
                <w:lang w:eastAsia="zh-CN"/>
              </w:rPr>
            </w:pPr>
            <w:r>
              <w:rPr>
                <w:rFonts w:ascii="仿宋_GB2312" w:hAnsi="黑体" w:eastAsia="仿宋_GB2312"/>
                <w:sz w:val="24"/>
                <w:szCs w:val="24"/>
                <w:lang w:eastAsia="zh-CN"/>
              </w:rPr>
              <w:t>1.《药品管理法》《药品经营质量管理规范》</w:t>
            </w:r>
            <w:r>
              <w:rPr>
                <w:rFonts w:hint="eastAsia" w:ascii="仿宋_GB2312" w:hAnsi="黑体" w:eastAsia="仿宋_GB2312"/>
                <w:sz w:val="24"/>
                <w:szCs w:val="24"/>
                <w:lang w:eastAsia="zh-CN"/>
              </w:rPr>
              <w:t>《药品经营和使用质量监督管理办法》《药品检查管理办法（试行）》</w:t>
            </w:r>
            <w:r>
              <w:rPr>
                <w:rFonts w:ascii="仿宋_GB2312" w:hAnsi="黑体" w:eastAsia="仿宋_GB2312"/>
                <w:sz w:val="24"/>
                <w:szCs w:val="24"/>
                <w:lang w:eastAsia="zh-CN"/>
              </w:rPr>
              <w:t>等法律法规规定执行情况。</w:t>
            </w:r>
          </w:p>
          <w:p w14:paraId="55BF7818">
            <w:pPr>
              <w:pStyle w:val="2"/>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2.其他省药监局和市局要求的监督检查要点。</w:t>
            </w:r>
          </w:p>
        </w:tc>
        <w:tc>
          <w:tcPr>
            <w:tcW w:w="383" w:type="pct"/>
            <w:noWrap w:val="0"/>
            <w:vAlign w:val="center"/>
          </w:tcPr>
          <w:p w14:paraId="660ED1F2">
            <w:pPr>
              <w:pStyle w:val="2"/>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各市场监管所</w:t>
            </w:r>
          </w:p>
        </w:tc>
        <w:tc>
          <w:tcPr>
            <w:tcW w:w="1211" w:type="pct"/>
            <w:noWrap w:val="0"/>
            <w:vAlign w:val="center"/>
          </w:tcPr>
          <w:p w14:paraId="723A4384">
            <w:pPr>
              <w:pStyle w:val="2"/>
              <w:overflowPunct w:val="0"/>
              <w:spacing w:after="0" w:line="320" w:lineRule="exact"/>
              <w:rPr>
                <w:rFonts w:ascii="仿宋_GB2312" w:hAnsi="黑体" w:eastAsia="仿宋_GB2312"/>
                <w:sz w:val="24"/>
                <w:szCs w:val="24"/>
                <w:lang w:eastAsia="zh-CN"/>
              </w:rPr>
            </w:pPr>
            <w:r>
              <w:rPr>
                <w:rFonts w:ascii="仿宋_GB2312" w:hAnsi="黑体" w:eastAsia="仿宋_GB2312"/>
                <w:sz w:val="24"/>
                <w:szCs w:val="24"/>
                <w:lang w:eastAsia="zh-CN"/>
              </w:rPr>
              <w:t>1.</w:t>
            </w:r>
            <w:r>
              <w:rPr>
                <w:rFonts w:hint="eastAsia" w:ascii="仿宋_GB2312" w:hAnsi="黑体" w:eastAsia="仿宋_GB2312"/>
                <w:sz w:val="24"/>
                <w:szCs w:val="24"/>
                <w:lang w:eastAsia="zh-CN"/>
              </w:rPr>
              <w:t>各市场监管所要</w:t>
            </w:r>
            <w:r>
              <w:rPr>
                <w:rFonts w:ascii="仿宋_GB2312" w:hAnsi="黑体" w:eastAsia="仿宋_GB2312"/>
                <w:sz w:val="24"/>
                <w:szCs w:val="24"/>
                <w:lang w:eastAsia="zh-CN"/>
              </w:rPr>
              <w:t>制定监督检查计划，分解任务，</w:t>
            </w:r>
            <w:r>
              <w:rPr>
                <w:rFonts w:hint="eastAsia" w:ascii="仿宋_GB2312" w:hAnsi="黑体" w:eastAsia="仿宋_GB2312"/>
                <w:sz w:val="24"/>
                <w:szCs w:val="24"/>
                <w:lang w:eastAsia="zh-CN"/>
              </w:rPr>
              <w:t>完成年度检查工作</w:t>
            </w:r>
            <w:r>
              <w:rPr>
                <w:rFonts w:ascii="仿宋_GB2312" w:hAnsi="黑体" w:eastAsia="仿宋_GB2312"/>
                <w:sz w:val="24"/>
                <w:szCs w:val="24"/>
                <w:lang w:eastAsia="zh-CN"/>
              </w:rPr>
              <w:t>。</w:t>
            </w:r>
            <w:r>
              <w:rPr>
                <w:rFonts w:hint="eastAsia" w:ascii="仿宋_GB2312" w:hAnsi="黑体" w:eastAsia="仿宋_GB2312"/>
                <w:sz w:val="24"/>
                <w:szCs w:val="24"/>
                <w:lang w:eastAsia="zh-CN"/>
              </w:rPr>
              <w:t>4</w:t>
            </w:r>
            <w:r>
              <w:rPr>
                <w:rFonts w:ascii="仿宋_GB2312" w:hAnsi="黑体" w:eastAsia="仿宋_GB2312"/>
                <w:sz w:val="24"/>
                <w:szCs w:val="24"/>
                <w:lang w:eastAsia="zh-CN"/>
              </w:rPr>
              <w:t>月</w:t>
            </w:r>
            <w:r>
              <w:rPr>
                <w:rFonts w:hint="eastAsia" w:ascii="仿宋_GB2312" w:hAnsi="黑体" w:eastAsia="仿宋_GB2312"/>
                <w:sz w:val="24"/>
                <w:szCs w:val="24"/>
                <w:lang w:eastAsia="zh-CN"/>
              </w:rPr>
              <w:t>1</w:t>
            </w:r>
            <w:r>
              <w:rPr>
                <w:rFonts w:hint="eastAsia" w:ascii="仿宋_GB2312" w:hAnsi="黑体" w:eastAsia="仿宋_GB2312"/>
                <w:sz w:val="24"/>
                <w:szCs w:val="24"/>
                <w:lang w:val="en-US" w:eastAsia="zh-CN"/>
              </w:rPr>
              <w:t>1</w:t>
            </w:r>
            <w:r>
              <w:rPr>
                <w:rFonts w:ascii="仿宋_GB2312" w:hAnsi="黑体" w:eastAsia="仿宋_GB2312"/>
                <w:sz w:val="24"/>
                <w:szCs w:val="24"/>
                <w:lang w:eastAsia="zh-CN"/>
              </w:rPr>
              <w:t>日前</w:t>
            </w:r>
            <w:r>
              <w:rPr>
                <w:rFonts w:hint="eastAsia" w:ascii="仿宋_GB2312" w:hAnsi="黑体" w:eastAsia="仿宋_GB2312"/>
                <w:sz w:val="24"/>
                <w:szCs w:val="24"/>
                <w:lang w:eastAsia="zh-CN"/>
              </w:rPr>
              <w:t>将监督检查计划报区局药化股。</w:t>
            </w:r>
          </w:p>
          <w:p w14:paraId="03606DF6">
            <w:pPr>
              <w:pStyle w:val="2"/>
              <w:overflowPunct w:val="0"/>
              <w:spacing w:after="0" w:line="320" w:lineRule="exact"/>
              <w:rPr>
                <w:rFonts w:ascii="仿宋_GB2312" w:hAnsi="黑体" w:eastAsia="仿宋_GB2312"/>
                <w:sz w:val="24"/>
                <w:szCs w:val="24"/>
                <w:lang w:eastAsia="zh-CN"/>
              </w:rPr>
            </w:pPr>
            <w:r>
              <w:rPr>
                <w:rFonts w:hint="eastAsia" w:ascii="仿宋_GB2312" w:hAnsi="黑体" w:eastAsia="仿宋_GB2312"/>
                <w:sz w:val="24"/>
                <w:szCs w:val="24"/>
                <w:lang w:eastAsia="zh-CN"/>
              </w:rPr>
              <w:t>2</w:t>
            </w:r>
            <w:r>
              <w:rPr>
                <w:rFonts w:ascii="仿宋_GB2312" w:hAnsi="黑体" w:eastAsia="仿宋_GB2312"/>
                <w:sz w:val="24"/>
                <w:szCs w:val="24"/>
                <w:lang w:eastAsia="zh-CN"/>
              </w:rPr>
              <w:t>.对检查发现的问题依法依规</w:t>
            </w:r>
            <w:r>
              <w:rPr>
                <w:rFonts w:hint="eastAsia" w:ascii="仿宋_GB2312" w:hAnsi="黑体" w:eastAsia="仿宋_GB2312"/>
                <w:sz w:val="24"/>
                <w:szCs w:val="24"/>
                <w:lang w:eastAsia="zh-CN"/>
              </w:rPr>
              <w:t>查处</w:t>
            </w:r>
            <w:r>
              <w:rPr>
                <w:rFonts w:ascii="仿宋_GB2312" w:hAnsi="黑体" w:eastAsia="仿宋_GB2312"/>
                <w:sz w:val="24"/>
                <w:szCs w:val="24"/>
                <w:lang w:eastAsia="zh-CN"/>
              </w:rPr>
              <w:t>。</w:t>
            </w:r>
          </w:p>
          <w:p w14:paraId="60ABB6B3">
            <w:pPr>
              <w:pStyle w:val="2"/>
              <w:overflowPunct w:val="0"/>
              <w:spacing w:after="0" w:line="320" w:lineRule="exact"/>
              <w:rPr>
                <w:rFonts w:ascii="仿宋_GB2312" w:hAnsi="黑体" w:eastAsia="仿宋_GB2312"/>
                <w:sz w:val="24"/>
                <w:szCs w:val="24"/>
                <w:lang w:eastAsia="zh-CN"/>
              </w:rPr>
            </w:pPr>
            <w:r>
              <w:rPr>
                <w:rFonts w:hint="eastAsia" w:ascii="仿宋_GB2312" w:hAnsi="黑体" w:eastAsia="仿宋_GB2312"/>
                <w:sz w:val="24"/>
                <w:szCs w:val="24"/>
                <w:lang w:eastAsia="zh-CN"/>
              </w:rPr>
              <w:t>3.</w:t>
            </w:r>
            <w:r>
              <w:rPr>
                <w:rFonts w:ascii="仿宋_GB2312" w:hAnsi="黑体" w:eastAsia="仿宋_GB2312"/>
                <w:sz w:val="24"/>
                <w:szCs w:val="24"/>
                <w:lang w:eastAsia="zh-CN"/>
              </w:rPr>
              <w:t>建立完善检查档案。</w:t>
            </w:r>
          </w:p>
        </w:tc>
      </w:tr>
      <w:tr w14:paraId="60E6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705" w:hRule="atLeast"/>
          <w:jc w:val="center"/>
        </w:trPr>
        <w:tc>
          <w:tcPr>
            <w:tcW w:w="206" w:type="pct"/>
            <w:noWrap w:val="0"/>
            <w:vAlign w:val="center"/>
          </w:tcPr>
          <w:p w14:paraId="0941C4F0">
            <w:pPr>
              <w:pStyle w:val="2"/>
              <w:overflowPunct w:val="0"/>
              <w:spacing w:after="0" w:line="320" w:lineRule="exact"/>
              <w:jc w:val="center"/>
              <w:rPr>
                <w:rFonts w:ascii="仿宋_GB2312" w:hAnsi="黑体" w:eastAsia="仿宋_GB2312"/>
                <w:sz w:val="24"/>
                <w:szCs w:val="24"/>
                <w:lang w:eastAsia="zh-CN"/>
              </w:rPr>
            </w:pPr>
            <w:r>
              <w:rPr>
                <w:rFonts w:hint="eastAsia" w:ascii="仿宋_GB2312" w:hAnsi="黑体" w:eastAsia="仿宋_GB2312"/>
                <w:sz w:val="24"/>
                <w:szCs w:val="24"/>
                <w:lang w:val="en-US" w:eastAsia="zh-CN"/>
              </w:rPr>
              <w:t>3</w:t>
            </w:r>
          </w:p>
        </w:tc>
        <w:tc>
          <w:tcPr>
            <w:tcW w:w="290" w:type="pct"/>
            <w:noWrap w:val="0"/>
            <w:vAlign w:val="center"/>
          </w:tcPr>
          <w:p w14:paraId="1F329C87">
            <w:pPr>
              <w:pStyle w:val="2"/>
              <w:overflowPunct w:val="0"/>
              <w:spacing w:after="0" w:line="320" w:lineRule="exact"/>
              <w:jc w:val="center"/>
              <w:rPr>
                <w:rFonts w:ascii="仿宋_GB2312" w:hAnsi="黑体" w:eastAsia="仿宋_GB2312"/>
                <w:sz w:val="24"/>
                <w:szCs w:val="24"/>
                <w:lang w:eastAsia="zh-CN"/>
              </w:rPr>
            </w:pPr>
            <w:r>
              <w:rPr>
                <w:rFonts w:hint="eastAsia" w:ascii="仿宋_GB2312" w:hAnsi="黑体" w:eastAsia="仿宋_GB2312"/>
                <w:sz w:val="24"/>
                <w:szCs w:val="24"/>
                <w:lang w:eastAsia="zh-CN"/>
              </w:rPr>
              <w:t>医疗</w:t>
            </w:r>
          </w:p>
          <w:p w14:paraId="0A9F479B">
            <w:pPr>
              <w:pStyle w:val="2"/>
              <w:overflowPunct w:val="0"/>
              <w:spacing w:after="0" w:line="320" w:lineRule="exact"/>
              <w:jc w:val="center"/>
              <w:rPr>
                <w:rFonts w:ascii="仿宋_GB2312" w:hAnsi="黑体" w:eastAsia="仿宋_GB2312"/>
                <w:sz w:val="24"/>
                <w:szCs w:val="24"/>
                <w:lang w:eastAsia="zh-CN"/>
              </w:rPr>
            </w:pPr>
            <w:r>
              <w:rPr>
                <w:rFonts w:hint="eastAsia" w:ascii="仿宋_GB2312" w:hAnsi="黑体" w:eastAsia="仿宋_GB2312"/>
                <w:sz w:val="24"/>
                <w:szCs w:val="24"/>
                <w:lang w:eastAsia="zh-CN"/>
              </w:rPr>
              <w:t>机构</w:t>
            </w:r>
          </w:p>
        </w:tc>
        <w:tc>
          <w:tcPr>
            <w:tcW w:w="1482" w:type="pct"/>
            <w:noWrap w:val="0"/>
            <w:vAlign w:val="center"/>
          </w:tcPr>
          <w:p w14:paraId="0B83935B">
            <w:pPr>
              <w:pStyle w:val="2"/>
              <w:overflowPunct w:val="0"/>
              <w:spacing w:after="0" w:line="320" w:lineRule="exact"/>
              <w:rPr>
                <w:rFonts w:ascii="仿宋_GB2312" w:hAnsi="黑体" w:eastAsia="仿宋_GB2312"/>
                <w:sz w:val="24"/>
                <w:szCs w:val="24"/>
                <w:lang w:eastAsia="zh-CN"/>
              </w:rPr>
            </w:pPr>
            <w:r>
              <w:rPr>
                <w:rFonts w:hint="eastAsia" w:ascii="仿宋_GB2312" w:hAnsi="黑体" w:eastAsia="仿宋_GB2312"/>
                <w:sz w:val="24"/>
                <w:szCs w:val="24"/>
                <w:lang w:eastAsia="zh-CN"/>
              </w:rPr>
              <w:t>每年确定一定比例医疗机构，对其购进、验收、储存药品管理情况进行检查，三年内对行政区域内医疗机构全部进行检查。各市场监管所可结合本行政区域内工作实际，增加检查频次。</w:t>
            </w:r>
          </w:p>
        </w:tc>
        <w:tc>
          <w:tcPr>
            <w:tcW w:w="1426" w:type="pct"/>
            <w:noWrap w:val="0"/>
            <w:vAlign w:val="center"/>
          </w:tcPr>
          <w:p w14:paraId="2D80E06D">
            <w:pPr>
              <w:pStyle w:val="2"/>
              <w:overflowPunct w:val="0"/>
              <w:spacing w:after="0" w:line="320" w:lineRule="exact"/>
              <w:jc w:val="both"/>
              <w:rPr>
                <w:rFonts w:ascii="仿宋_GB2312" w:hAnsi="黑体" w:eastAsia="仿宋_GB2312"/>
                <w:sz w:val="24"/>
                <w:szCs w:val="24"/>
                <w:lang w:eastAsia="zh-CN"/>
              </w:rPr>
            </w:pPr>
            <w:r>
              <w:rPr>
                <w:rFonts w:hint="eastAsia" w:ascii="仿宋_GB2312" w:hAnsi="黑体" w:eastAsia="仿宋_GB2312"/>
                <w:sz w:val="24"/>
                <w:szCs w:val="24"/>
                <w:lang w:eastAsia="zh-CN"/>
              </w:rPr>
              <w:t>《药</w:t>
            </w:r>
            <w:bookmarkStart w:id="0" w:name="_GoBack"/>
            <w:bookmarkEnd w:id="0"/>
            <w:r>
              <w:rPr>
                <w:rFonts w:hint="eastAsia" w:ascii="仿宋_GB2312" w:hAnsi="黑体" w:eastAsia="仿宋_GB2312"/>
                <w:sz w:val="24"/>
                <w:szCs w:val="24"/>
                <w:lang w:eastAsia="zh-CN"/>
              </w:rPr>
              <w:t>品管理法》《疫苗管理法》《麻醉药品和精神药品管理条例》《疫苗储存和运输管理规范（2017年版）》、原国家食品药品监督管理局制定的《医疗机构药品监督管理办法（试行）》（国食药监安〔2011〕442号）《药品经营和使用质量监督管理办法》等法律法规及国家关于药品使用质量管理的相关规定的执行情况。</w:t>
            </w:r>
          </w:p>
        </w:tc>
        <w:tc>
          <w:tcPr>
            <w:tcW w:w="383" w:type="pct"/>
            <w:noWrap w:val="0"/>
            <w:vAlign w:val="center"/>
          </w:tcPr>
          <w:p w14:paraId="37008DCB">
            <w:pPr>
              <w:pStyle w:val="2"/>
              <w:overflowPunct w:val="0"/>
              <w:spacing w:after="0" w:line="320" w:lineRule="exact"/>
              <w:jc w:val="center"/>
              <w:rPr>
                <w:rFonts w:ascii="仿宋_GB2312" w:hAnsi="黑体" w:eastAsia="仿宋_GB2312"/>
                <w:sz w:val="24"/>
                <w:szCs w:val="24"/>
                <w:lang w:eastAsia="zh-CN"/>
              </w:rPr>
            </w:pPr>
            <w:r>
              <w:rPr>
                <w:rFonts w:hint="eastAsia" w:ascii="仿宋_GB2312" w:hAnsi="黑体" w:eastAsia="仿宋_GB2312"/>
                <w:sz w:val="24"/>
                <w:szCs w:val="24"/>
                <w:lang w:eastAsia="zh-CN"/>
              </w:rPr>
              <w:t>各市场监管所</w:t>
            </w:r>
          </w:p>
        </w:tc>
        <w:tc>
          <w:tcPr>
            <w:tcW w:w="1211" w:type="pct"/>
            <w:noWrap w:val="0"/>
            <w:vAlign w:val="center"/>
          </w:tcPr>
          <w:p w14:paraId="4A8C5472">
            <w:pPr>
              <w:pStyle w:val="2"/>
              <w:overflowPunct w:val="0"/>
              <w:spacing w:after="0" w:line="320" w:lineRule="exact"/>
              <w:jc w:val="both"/>
              <w:rPr>
                <w:rFonts w:ascii="仿宋_GB2312" w:hAnsi="黑体" w:eastAsia="仿宋_GB2312"/>
                <w:sz w:val="24"/>
                <w:szCs w:val="24"/>
                <w:lang w:eastAsia="zh-CN"/>
              </w:rPr>
            </w:pPr>
            <w:r>
              <w:rPr>
                <w:rFonts w:hint="eastAsia" w:ascii="仿宋_GB2312" w:hAnsi="黑体" w:eastAsia="仿宋_GB2312"/>
                <w:sz w:val="24"/>
                <w:szCs w:val="24"/>
                <w:lang w:eastAsia="zh-CN"/>
              </w:rPr>
              <w:t>1.对检查发现的问题依法依规查处。</w:t>
            </w:r>
          </w:p>
          <w:p w14:paraId="0A76A905">
            <w:pPr>
              <w:pStyle w:val="2"/>
              <w:overflowPunct w:val="0"/>
              <w:spacing w:after="0" w:line="320" w:lineRule="exact"/>
              <w:jc w:val="both"/>
              <w:rPr>
                <w:rFonts w:ascii="仿宋_GB2312" w:hAnsi="黑体" w:eastAsia="仿宋_GB2312"/>
                <w:sz w:val="24"/>
                <w:szCs w:val="24"/>
                <w:lang w:eastAsia="zh-CN"/>
              </w:rPr>
            </w:pPr>
            <w:r>
              <w:rPr>
                <w:rFonts w:hint="eastAsia" w:ascii="仿宋_GB2312" w:hAnsi="黑体" w:eastAsia="仿宋_GB2312"/>
                <w:sz w:val="24"/>
                <w:szCs w:val="24"/>
                <w:lang w:eastAsia="zh-CN"/>
              </w:rPr>
              <w:t>2.建立完善检查档案。</w:t>
            </w:r>
          </w:p>
        </w:tc>
      </w:tr>
      <w:tr w14:paraId="66F1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81" w:hRule="atLeast"/>
          <w:jc w:val="center"/>
        </w:trPr>
        <w:tc>
          <w:tcPr>
            <w:tcW w:w="206" w:type="pct"/>
            <w:noWrap w:val="0"/>
            <w:vAlign w:val="center"/>
          </w:tcPr>
          <w:p w14:paraId="54451843">
            <w:pPr>
              <w:pStyle w:val="2"/>
              <w:overflowPunct w:val="0"/>
              <w:spacing w:after="0" w:line="320" w:lineRule="exact"/>
              <w:jc w:val="center"/>
              <w:rPr>
                <w:rFonts w:ascii="仿宋_GB2312" w:hAnsi="黑体" w:eastAsia="仿宋_GB2312"/>
                <w:sz w:val="24"/>
                <w:szCs w:val="24"/>
                <w:lang w:eastAsia="zh-CN"/>
              </w:rPr>
            </w:pPr>
            <w:r>
              <w:rPr>
                <w:rFonts w:hint="eastAsia" w:ascii="仿宋_GB2312" w:hAnsi="黑体" w:eastAsia="仿宋_GB2312"/>
                <w:sz w:val="24"/>
                <w:szCs w:val="24"/>
                <w:lang w:val="en-US" w:eastAsia="zh-CN"/>
              </w:rPr>
              <w:t>4</w:t>
            </w:r>
          </w:p>
        </w:tc>
        <w:tc>
          <w:tcPr>
            <w:tcW w:w="290" w:type="pct"/>
            <w:noWrap w:val="0"/>
            <w:vAlign w:val="center"/>
          </w:tcPr>
          <w:p w14:paraId="5F712428">
            <w:pPr>
              <w:pStyle w:val="2"/>
              <w:overflowPunct w:val="0"/>
              <w:spacing w:after="0" w:line="320" w:lineRule="exact"/>
              <w:jc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疾控机构及疫苗接种单位</w:t>
            </w:r>
          </w:p>
        </w:tc>
        <w:tc>
          <w:tcPr>
            <w:tcW w:w="1482" w:type="pct"/>
            <w:noWrap w:val="0"/>
            <w:vAlign w:val="center"/>
          </w:tcPr>
          <w:p w14:paraId="1E26F5B2">
            <w:pPr>
              <w:pStyle w:val="2"/>
              <w:numPr>
                <w:ilvl w:val="0"/>
                <w:numId w:val="1"/>
              </w:numPr>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药化股对区疾病预防控制中心检查1次。</w:t>
            </w:r>
          </w:p>
          <w:p w14:paraId="2F122534">
            <w:pPr>
              <w:pStyle w:val="2"/>
              <w:numPr>
                <w:ilvl w:val="0"/>
                <w:numId w:val="1"/>
              </w:numPr>
              <w:overflowPunct w:val="0"/>
              <w:spacing w:after="0" w:line="320" w:lineRule="exact"/>
              <w:rPr>
                <w:rFonts w:hint="eastAsia" w:ascii="仿宋_GB2312" w:hAnsi="黑体" w:eastAsia="仿宋_GB2312"/>
                <w:sz w:val="24"/>
                <w:szCs w:val="24"/>
                <w:lang w:eastAsia="zh-CN"/>
              </w:rPr>
            </w:pPr>
            <w:r>
              <w:rPr>
                <w:rFonts w:hint="eastAsia" w:ascii="仿宋_GB2312" w:hAnsi="黑体" w:eastAsia="仿宋_GB2312"/>
                <w:sz w:val="24"/>
                <w:szCs w:val="24"/>
                <w:lang w:eastAsia="zh-CN"/>
              </w:rPr>
              <w:t>各市场监管所每年至少对辖区内接种单位执行疫苗储存和运输管理规范情况检查1次。</w:t>
            </w:r>
          </w:p>
        </w:tc>
        <w:tc>
          <w:tcPr>
            <w:tcW w:w="1426" w:type="pct"/>
            <w:noWrap w:val="0"/>
            <w:vAlign w:val="center"/>
          </w:tcPr>
          <w:p w14:paraId="3FF95889">
            <w:pPr>
              <w:pStyle w:val="2"/>
              <w:overflowPunct w:val="0"/>
              <w:spacing w:after="0" w:line="320" w:lineRule="exact"/>
              <w:jc w:val="both"/>
              <w:rPr>
                <w:rFonts w:ascii="仿宋_GB2312" w:hAnsi="黑体" w:eastAsia="仿宋_GB2312"/>
                <w:sz w:val="24"/>
                <w:szCs w:val="24"/>
                <w:lang w:eastAsia="zh-CN"/>
              </w:rPr>
            </w:pPr>
            <w:r>
              <w:rPr>
                <w:rFonts w:hint="eastAsia" w:ascii="仿宋_GB2312" w:hAnsi="黑体" w:eastAsia="仿宋_GB2312"/>
                <w:sz w:val="24"/>
                <w:szCs w:val="24"/>
                <w:lang w:eastAsia="zh-CN"/>
              </w:rPr>
              <w:t>《药品管理法》《疫苗管理法》《药品经营和使用质量监督管理办法》《疫苗生产流通管理规定》《疫苗储存和运输管理规范（2017年版）》</w:t>
            </w:r>
          </w:p>
        </w:tc>
        <w:tc>
          <w:tcPr>
            <w:tcW w:w="383" w:type="pct"/>
            <w:noWrap w:val="0"/>
            <w:vAlign w:val="center"/>
          </w:tcPr>
          <w:p w14:paraId="2CF8012B">
            <w:pPr>
              <w:pStyle w:val="2"/>
              <w:overflowPunct w:val="0"/>
              <w:spacing w:after="0" w:line="320" w:lineRule="exact"/>
              <w:jc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药化股、各市场监管所</w:t>
            </w:r>
          </w:p>
        </w:tc>
        <w:tc>
          <w:tcPr>
            <w:tcW w:w="1211" w:type="pct"/>
            <w:noWrap w:val="0"/>
            <w:vAlign w:val="center"/>
          </w:tcPr>
          <w:p w14:paraId="74B197CB">
            <w:pPr>
              <w:pStyle w:val="2"/>
              <w:overflowPunct w:val="0"/>
              <w:spacing w:after="0" w:line="320" w:lineRule="exact"/>
              <w:jc w:val="both"/>
              <w:rPr>
                <w:rFonts w:ascii="仿宋_GB2312" w:hAnsi="黑体" w:eastAsia="仿宋_GB2312"/>
                <w:sz w:val="24"/>
                <w:szCs w:val="24"/>
                <w:lang w:eastAsia="zh-CN"/>
              </w:rPr>
            </w:pPr>
            <w:r>
              <w:rPr>
                <w:rFonts w:hint="eastAsia" w:ascii="仿宋_GB2312" w:hAnsi="黑体" w:eastAsia="仿宋_GB2312"/>
                <w:sz w:val="24"/>
                <w:szCs w:val="24"/>
                <w:lang w:eastAsia="zh-CN"/>
              </w:rPr>
              <w:t>1.对检查发现的问题依法依规查处。需向卫生健康等部门通报反馈情况的，按规定通报反馈。</w:t>
            </w:r>
          </w:p>
          <w:p w14:paraId="2ABBE119">
            <w:pPr>
              <w:pStyle w:val="2"/>
              <w:overflowPunct w:val="0"/>
              <w:spacing w:after="0" w:line="320" w:lineRule="exact"/>
              <w:jc w:val="both"/>
              <w:rPr>
                <w:rFonts w:hint="eastAsia" w:ascii="仿宋_GB2312" w:hAnsi="黑体" w:eastAsia="仿宋_GB2312"/>
                <w:sz w:val="24"/>
                <w:szCs w:val="24"/>
                <w:lang w:eastAsia="zh-CN"/>
              </w:rPr>
            </w:pPr>
            <w:r>
              <w:rPr>
                <w:rFonts w:hint="eastAsia" w:ascii="仿宋_GB2312" w:hAnsi="黑体" w:eastAsia="仿宋_GB2312"/>
                <w:sz w:val="24"/>
                <w:szCs w:val="24"/>
                <w:lang w:eastAsia="zh-CN"/>
              </w:rPr>
              <w:t>2.建立完善检查档案。</w:t>
            </w:r>
          </w:p>
        </w:tc>
      </w:tr>
    </w:tbl>
    <w:p w14:paraId="4FFD304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E4AA0"/>
    <w:multiLevelType w:val="singleLevel"/>
    <w:tmpl w:val="E39E4A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54215"/>
    <w:rsid w:val="16954215"/>
    <w:rsid w:val="3ADB199C"/>
    <w:rsid w:val="54FF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pPr>
      <w:widowControl/>
      <w:spacing w:after="120" w:line="276" w:lineRule="auto"/>
      <w:jc w:val="left"/>
    </w:pPr>
    <w:rPr>
      <w:rFonts w:ascii="微软雅黑" w:hAnsi="微软雅黑" w:eastAsia="微软雅黑"/>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966</Characters>
  <Lines>0</Lines>
  <Paragraphs>0</Paragraphs>
  <TotalTime>6</TotalTime>
  <ScaleCrop>false</ScaleCrop>
  <LinksUpToDate>false</LinksUpToDate>
  <CharactersWithSpaces>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2025-04-07T01:08:00Z</dcterms:created>
  <dc:creator>高瑛</dc:creator>
  <cp:lastModifiedBy>一点也不熟练</cp:lastModifiedBy>
  <cp:lastPrinted>2025-04-07T01:16:00Z</cp:lastPrinted>
  <dcterms:modified xsi:type="dcterms:W3CDTF">2025-11-26T08:16:37Z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82B07B873A6142FCBF734BA2BE31FED2_13</vt:lpwstr>
  </property>
  <property fmtid="{D5CDD505-2E9C-101B-9397-08002B2CF9AE}" pid="4" name="KSOTemplateDocerSaveRecord">
    <vt:lpwstr>eyJoZGlkIjoiOTNhYjkzMTA3OWE0NmQ5NTBkNDYwNzIwODM4YzFmZjEiLCJ1c2VySWQiOiIyNzYxNTIxMzAifQ==</vt:lpwstr>
  </property>
</Properties>
</file>